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n45hfrrbuk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Ieteicamie atbalsta pasākumi pārbaudes darbos skolēniem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ar speciālām vajadzībām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-209549</wp:posOffset>
            </wp:positionH>
            <wp:positionV relativeFrom="paragraph">
              <wp:posOffset>345904</wp:posOffset>
            </wp:positionV>
            <wp:extent cx="4894988" cy="628650"/>
            <wp:effectExtent b="0" l="0" r="0" t="0"/>
            <wp:wrapNone/>
            <wp:docPr id="202526390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4988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310.0" w:type="dxa"/>
        <w:jc w:val="left"/>
        <w:tblInd w:w="-4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5"/>
        <w:gridCol w:w="1035"/>
        <w:gridCol w:w="945"/>
        <w:gridCol w:w="1170"/>
        <w:gridCol w:w="1020"/>
        <w:gridCol w:w="1050"/>
        <w:gridCol w:w="1155"/>
        <w:tblGridChange w:id="0">
          <w:tblGrid>
            <w:gridCol w:w="7935"/>
            <w:gridCol w:w="1035"/>
            <w:gridCol w:w="945"/>
            <w:gridCol w:w="1170"/>
            <w:gridCol w:w="1020"/>
            <w:gridCol w:w="1050"/>
            <w:gridCol w:w="1155"/>
          </w:tblGrid>
        </w:tblGridChange>
      </w:tblGrid>
      <w:tr>
        <w:trPr>
          <w:cantSplit w:val="1"/>
          <w:trHeight w:val="27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TRAUCĒJUMU VEIDS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2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ATBALSTA PASĀKUMI PD LAIKĀ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Fiziskās attīstības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Valodas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Mācīšanās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Redzes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Dzirdes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Garīgās veselības</w:t>
            </w:r>
          </w:p>
        </w:tc>
      </w:tr>
      <w:tr>
        <w:trPr>
          <w:cantSplit w:val="1"/>
          <w:trHeight w:val="51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315278" cy="315278"/>
                  <wp:effectExtent b="0" l="0" r="0" t="0"/>
                  <wp:docPr id="202526390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8" cy="3152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56069" cy="256069"/>
                  <wp:effectExtent b="0" l="0" r="0" t="0"/>
                  <wp:docPr id="202526390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69" cy="2560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330726" cy="330726"/>
                  <wp:effectExtent b="0" l="0" r="0" t="0"/>
                  <wp:docPr id="202526390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26" cy="3307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90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357300" cy="357300"/>
                  <wp:effectExtent b="0" l="0" r="0" t="0"/>
                  <wp:docPr id="202526390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00" cy="3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Pagarināts darba izpildes laiks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60543" cy="260543"/>
                  <wp:effectExtent b="0" l="0" r="0" t="0"/>
                  <wp:docPr id="202526391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43" cy="2605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56069" cy="256069"/>
                  <wp:effectExtent b="0" l="0" r="0" t="0"/>
                  <wp:docPr id="20252639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69" cy="2560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&lt;30%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91412" cy="291412"/>
                  <wp:effectExtent b="0" l="0" r="0" t="0"/>
                  <wp:docPr id="202526391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12" cy="29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&lt;30%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9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&lt;100%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&lt;100%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310462" cy="310462"/>
                  <wp:effectExtent b="0" l="0" r="0" t="0"/>
                  <wp:docPr id="202526392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62" cy="3104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&lt;30%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Palielināts starpbrīžu skaits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62927" cy="262927"/>
                  <wp:effectExtent b="0" l="0" r="0" t="0"/>
                  <wp:docPr id="202526392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7" cy="2629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550" cy="248550"/>
                  <wp:effectExtent b="0" l="0" r="0" t="0"/>
                  <wp:docPr id="202526392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50" cy="248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301656" cy="301656"/>
                  <wp:effectExtent b="0" l="0" r="0" t="0"/>
                  <wp:docPr id="202526392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56" cy="3016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9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96894" cy="296894"/>
                  <wp:effectExtent b="0" l="0" r="0" t="0"/>
                  <wp:docPr id="202526393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94" cy="296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Atļauts lasīt priekšā uzdevuma nosacījumus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39025" cy="239025"/>
                  <wp:effectExtent b="0" l="0" r="0" t="0"/>
                  <wp:docPr id="202526393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25" cy="239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301247" cy="301247"/>
                  <wp:effectExtent b="0" l="0" r="0" t="0"/>
                  <wp:docPr id="202526389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7" cy="3012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89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Izmantot palīglīdzekļus, kuri uzlabo teksta uztveri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19975" cy="219975"/>
                  <wp:effectExtent b="0" l="0" r="0" t="0"/>
                  <wp:docPr id="202526389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5" cy="219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72362" cy="272362"/>
                  <wp:effectExtent b="0" l="0" r="0" t="0"/>
                  <wp:docPr id="202526389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62" cy="272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89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Datora izmantošana (valodu eksāmenos bez teksta redaktora iespējām) rakstiskas atbildes sniegšanai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83295" cy="283295"/>
                  <wp:effectExtent b="0" l="0" r="0" t="0"/>
                  <wp:docPr id="202526389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95" cy="283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30907" cy="230907"/>
                  <wp:effectExtent b="0" l="0" r="0" t="0"/>
                  <wp:docPr id="202526390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07" cy="2309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91412" cy="291412"/>
                  <wp:effectExtent b="0" l="0" r="0" t="0"/>
                  <wp:docPr id="202526390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12" cy="29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Teksts palielinātā drukā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11448" cy="211448"/>
                  <wp:effectExtent b="0" l="0" r="0" t="0"/>
                  <wp:docPr id="202526390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48" cy="2114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90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414142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Izmantot atgādnes (vizuālas, verbālas, taktilas) darba organizēšanai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208688" cy="209550"/>
                  <wp:effectExtent b="0" l="0" r="0" t="0"/>
                  <wp:docPr id="20252639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88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296764" cy="296764"/>
                  <wp:effectExtent b="0" l="0" r="0" t="0"/>
                  <wp:docPr id="20252639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64" cy="2967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329475" cy="329475"/>
                  <wp:effectExtent b="0" l="0" r="0" t="0"/>
                  <wp:docPr id="202526391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75" cy="329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Klausīšanās daļā pauzes starp uzdevumu nosacījumiem un uzdevumiem pagarina līdz 100%. Visu ierakstu drīkst klausīties atkārtoti vienu reizi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82690" cy="282690"/>
                  <wp:effectExtent b="0" l="0" r="0" t="0"/>
                  <wp:docPr id="20252639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90" cy="282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Izglītojamo ar valodas traucējumiem, kas neļauj demonstrēt runāt prasmi, var atbrīvot no pārbaudes darba mutvārdu daļas kārtošanas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86650" cy="286650"/>
                  <wp:effectExtent b="0" l="0" r="0" t="0"/>
                  <wp:docPr id="202526392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50" cy="286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10450" cy="210450"/>
                  <wp:effectExtent b="0" l="0" r="0" t="0"/>
                  <wp:docPr id="202526392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50" cy="210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Burtisks uzdevumu nosacījumu tulkojums zīmju valodā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Atbrīvot no pārbaudes darba klausīšanās un (vai) mutvārdu daļas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248076" cy="248076"/>
                  <wp:effectExtent b="0" l="0" r="0" t="0"/>
                  <wp:docPr id="20252639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76" cy="2480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Rakstu darbus aizstāt ar mutiskām atbildēm, kuras tiek fiksētas audioierakstā, ja izglītojamais fiziskās attīstības traucējumu dēļ nevar rakstīt vai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aizstāt mutvārdu atbildi ar rakstisku/zīmējumu (ja nav iespējams demonstrēt runātprasmi)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70690" cy="270690"/>
                  <wp:effectExtent b="0" l="0" r="0" t="0"/>
                  <wp:docPr id="202526393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0" cy="270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Iespēja izmantot asistentu atbalstam darbībās, kas nav saistītas ar pārbaudījuma satura skaidrošanu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259304" cy="259304"/>
                  <wp:effectExtent b="0" l="0" r="0" t="0"/>
                  <wp:docPr id="202526389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04" cy="2593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Apkopojums veidots, balstoties uz MK.2019.gada 19.novembra noteikumiem Nr. 556 un pēc “Atbalsta pasākumu nodrošināšana izglītības iestādēs. Metodiskie ieteikum</w:t>
      </w:r>
      <w:r w:rsidDel="00000000" w:rsidR="00000000" w:rsidRPr="00000000">
        <w:rPr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b w:val="1"/>
          <w:sz w:val="16"/>
          <w:szCs w:val="16"/>
          <w:rtl w:val="0"/>
        </w:rPr>
        <w:t xml:space="preserve">” </w:t>
      </w:r>
      <w:r w:rsidDel="00000000" w:rsidR="00000000" w:rsidRPr="00000000">
        <w:rPr>
          <w:sz w:val="16"/>
          <w:szCs w:val="16"/>
          <w:rtl w:val="0"/>
        </w:rPr>
        <w:t xml:space="preserve">,</w:t>
      </w:r>
      <w:hyperlink r:id="rId1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https://likumi.lv/ta/id/310939-prasibas-visparejas-izglitibas-iestadem-lai-to-istenotajas-izglitibas-programmas-uznemtu-izglitojamos-ar-specialam-vajadzibam</w:t>
        </w:r>
      </w:hyperlink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  <w:hyperlink r:id="rId1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https://registri.visc.gov.lv/specizglitiba/dokumenti/metmat/metiet_atb_pas_nodr.pdf</w:t>
        </w:r>
      </w:hyperlink>
      <w:r w:rsidDel="00000000" w:rsidR="00000000" w:rsidRPr="00000000">
        <w:rPr>
          <w:sz w:val="16"/>
          <w:szCs w:val="16"/>
          <w:rtl w:val="0"/>
        </w:rPr>
        <w:t xml:space="preserve"> ,</w:t>
      </w:r>
    </w:p>
    <w:sectPr>
      <w:footerReference r:id="rId16" w:type="default"/>
      <w:pgSz w:h="12240" w:w="15840" w:orient="landscape"/>
      <w:pgMar w:bottom="566" w:top="708" w:left="1133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right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ONIP Darbseminārs skolu mācību jomu koordinatoriem 27.02.2025. OVĢ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Parasts" w:default="1">
    <w:name w:val="Normal"/>
    <w:qFormat w:val="1"/>
  </w:style>
  <w:style w:type="paragraph" w:styleId="Virsraksts1">
    <w:name w:val="heading 1"/>
    <w:basedOn w:val="Parasts"/>
    <w:next w:val="Parasts"/>
    <w:link w:val="Virsraksts1Rakstz"/>
    <w:uiPriority w:val="9"/>
    <w:qFormat w:val="1"/>
    <w:rsid w:val="00E7076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 w:val="1"/>
    <w:unhideWhenUsed w:val="1"/>
    <w:qFormat w:val="1"/>
    <w:rsid w:val="00E7076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 w:val="1"/>
    <w:unhideWhenUsed w:val="1"/>
    <w:qFormat w:val="1"/>
    <w:rsid w:val="00E7076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 w:val="1"/>
    <w:unhideWhenUsed w:val="1"/>
    <w:qFormat w:val="1"/>
    <w:rsid w:val="00E7076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Virsraksts5">
    <w:name w:val="heading 5"/>
    <w:basedOn w:val="Parasts"/>
    <w:next w:val="Parasts"/>
    <w:link w:val="Virsraksts5Rakstz"/>
    <w:uiPriority w:val="9"/>
    <w:semiHidden w:val="1"/>
    <w:unhideWhenUsed w:val="1"/>
    <w:qFormat w:val="1"/>
    <w:rsid w:val="00E7076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Virsraksts6">
    <w:name w:val="heading 6"/>
    <w:basedOn w:val="Parasts"/>
    <w:next w:val="Parasts"/>
    <w:link w:val="Virsraksts6Rakstz"/>
    <w:uiPriority w:val="9"/>
    <w:semiHidden w:val="1"/>
    <w:unhideWhenUsed w:val="1"/>
    <w:qFormat w:val="1"/>
    <w:rsid w:val="00E70767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Virsraksts7">
    <w:name w:val="heading 7"/>
    <w:basedOn w:val="Parasts"/>
    <w:next w:val="Parasts"/>
    <w:link w:val="Virsraksts7Rakstz"/>
    <w:uiPriority w:val="9"/>
    <w:semiHidden w:val="1"/>
    <w:unhideWhenUsed w:val="1"/>
    <w:qFormat w:val="1"/>
    <w:rsid w:val="00E7076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Virsraksts8">
    <w:name w:val="heading 8"/>
    <w:basedOn w:val="Parasts"/>
    <w:next w:val="Parasts"/>
    <w:link w:val="Virsraksts8Rakstz"/>
    <w:uiPriority w:val="9"/>
    <w:semiHidden w:val="1"/>
    <w:unhideWhenUsed w:val="1"/>
    <w:qFormat w:val="1"/>
    <w:rsid w:val="00E7076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Virsraksts9">
    <w:name w:val="heading 9"/>
    <w:basedOn w:val="Parasts"/>
    <w:next w:val="Parasts"/>
    <w:link w:val="Virsraksts9Rakstz"/>
    <w:uiPriority w:val="9"/>
    <w:semiHidden w:val="1"/>
    <w:unhideWhenUsed w:val="1"/>
    <w:qFormat w:val="1"/>
    <w:rsid w:val="00E7076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 w:val="1"/>
    <w:rsid w:val="00E70767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Virsraksts1Rakstz" w:customStyle="1">
    <w:name w:val="Virsraksts 1 Rakstz."/>
    <w:basedOn w:val="Noklusjumarindkopasfonts"/>
    <w:link w:val="Virsraksts1"/>
    <w:uiPriority w:val="9"/>
    <w:rsid w:val="00E70767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lv-LV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 w:val="1"/>
    <w:rsid w:val="00E7076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lv-LV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 w:val="1"/>
    <w:rsid w:val="00E70767"/>
    <w:rPr>
      <w:rFonts w:cstheme="majorBidi" w:eastAsiaTheme="majorEastAsia"/>
      <w:color w:val="2f5496" w:themeColor="accent1" w:themeShade="0000BF"/>
      <w:sz w:val="28"/>
      <w:szCs w:val="28"/>
      <w:lang w:val="lv-LV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 w:val="1"/>
    <w:rsid w:val="00E70767"/>
    <w:rPr>
      <w:rFonts w:cstheme="majorBidi" w:eastAsiaTheme="majorEastAsia"/>
      <w:i w:val="1"/>
      <w:iCs w:val="1"/>
      <w:color w:val="2f5496" w:themeColor="accent1" w:themeShade="0000BF"/>
      <w:lang w:val="lv-LV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 w:val="1"/>
    <w:rsid w:val="00E70767"/>
    <w:rPr>
      <w:rFonts w:cstheme="majorBidi" w:eastAsiaTheme="majorEastAsia"/>
      <w:color w:val="2f5496" w:themeColor="accent1" w:themeShade="0000BF"/>
      <w:lang w:val="lv-LV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 w:val="1"/>
    <w:rsid w:val="00E70767"/>
    <w:rPr>
      <w:rFonts w:cstheme="majorBidi" w:eastAsiaTheme="majorEastAsia"/>
      <w:i w:val="1"/>
      <w:iCs w:val="1"/>
      <w:color w:val="595959" w:themeColor="text1" w:themeTint="0000A6"/>
      <w:lang w:val="lv-LV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 w:val="1"/>
    <w:rsid w:val="00E70767"/>
    <w:rPr>
      <w:rFonts w:cstheme="majorBidi" w:eastAsiaTheme="majorEastAsia"/>
      <w:color w:val="595959" w:themeColor="text1" w:themeTint="0000A6"/>
      <w:lang w:val="lv-LV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 w:val="1"/>
    <w:rsid w:val="00E70767"/>
    <w:rPr>
      <w:rFonts w:cstheme="majorBidi" w:eastAsiaTheme="majorEastAsia"/>
      <w:i w:val="1"/>
      <w:iCs w:val="1"/>
      <w:color w:val="272727" w:themeColor="text1" w:themeTint="0000D8"/>
      <w:lang w:val="lv-LV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 w:val="1"/>
    <w:rsid w:val="00E70767"/>
    <w:rPr>
      <w:rFonts w:cstheme="majorBidi" w:eastAsiaTheme="majorEastAsia"/>
      <w:color w:val="272727" w:themeColor="text1" w:themeTint="0000D8"/>
      <w:lang w:val="lv-LV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E70767"/>
    <w:rPr>
      <w:rFonts w:asciiTheme="majorHAnsi" w:cstheme="majorBidi" w:eastAsiaTheme="majorEastAsia" w:hAnsiTheme="majorHAns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E70767"/>
    <w:rPr>
      <w:rFonts w:cstheme="majorBidi" w:eastAsiaTheme="majorEastAsia"/>
      <w:color w:val="595959" w:themeColor="text1" w:themeTint="0000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 w:val="1"/>
    <w:rsid w:val="00E70767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tsRakstz" w:customStyle="1">
    <w:name w:val="Citāts Rakstz."/>
    <w:basedOn w:val="Noklusjumarindkopasfonts"/>
    <w:link w:val="Citts"/>
    <w:uiPriority w:val="29"/>
    <w:rsid w:val="00E70767"/>
    <w:rPr>
      <w:i w:val="1"/>
      <w:iCs w:val="1"/>
      <w:color w:val="404040" w:themeColor="text1" w:themeTint="0000BF"/>
      <w:lang w:val="lv-LV"/>
    </w:rPr>
  </w:style>
  <w:style w:type="paragraph" w:styleId="Sarakstarindkopa">
    <w:name w:val="List Paragraph"/>
    <w:basedOn w:val="Parasts"/>
    <w:uiPriority w:val="34"/>
    <w:qFormat w:val="1"/>
    <w:rsid w:val="00E70767"/>
    <w:pPr>
      <w:ind w:left="720"/>
      <w:contextualSpacing w:val="1"/>
    </w:pPr>
  </w:style>
  <w:style w:type="character" w:styleId="Intensvsizclums">
    <w:name w:val="Intense Emphasis"/>
    <w:basedOn w:val="Noklusjumarindkopasfonts"/>
    <w:uiPriority w:val="21"/>
    <w:qFormat w:val="1"/>
    <w:rsid w:val="00E70767"/>
    <w:rPr>
      <w:i w:val="1"/>
      <w:iCs w:val="1"/>
      <w:color w:val="2f5496" w:themeColor="accent1" w:themeShade="0000BF"/>
    </w:rPr>
  </w:style>
  <w:style w:type="paragraph" w:styleId="Intensvscitts">
    <w:name w:val="Intense Quote"/>
    <w:basedOn w:val="Parasts"/>
    <w:next w:val="Parasts"/>
    <w:link w:val="IntensvscittsRakstz"/>
    <w:uiPriority w:val="30"/>
    <w:qFormat w:val="1"/>
    <w:rsid w:val="00E7076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E70767"/>
    <w:rPr>
      <w:i w:val="1"/>
      <w:iCs w:val="1"/>
      <w:color w:val="2f5496" w:themeColor="accent1" w:themeShade="0000BF"/>
      <w:lang w:val="lv-LV"/>
    </w:rPr>
  </w:style>
  <w:style w:type="character" w:styleId="Intensvaatsauce">
    <w:name w:val="Intense Reference"/>
    <w:basedOn w:val="Noklusjumarindkopasfonts"/>
    <w:uiPriority w:val="32"/>
    <w:qFormat w:val="1"/>
    <w:rsid w:val="00E70767"/>
    <w:rPr>
      <w:b w:val="1"/>
      <w:bCs w:val="1"/>
      <w:smallCaps w:val="1"/>
      <w:color w:val="2f5496" w:themeColor="accent1" w:themeShade="0000BF"/>
      <w:spacing w:val="5"/>
    </w:rPr>
  </w:style>
  <w:style w:type="table" w:styleId="a" w:customStyle="1">
    <w:basedOn w:val="Parastatabula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onteksts">
    <w:name w:val="Balloon Text"/>
    <w:basedOn w:val="Parasts"/>
    <w:link w:val="BalontekstsRakstz"/>
    <w:uiPriority w:val="99"/>
    <w:semiHidden w:val="1"/>
    <w:unhideWhenUsed w:val="1"/>
    <w:rsid w:val="00F101C0"/>
    <w:rPr>
      <w:rFonts w:ascii="Tahoma" w:cs="Tahoma" w:hAnsi="Tahoma"/>
      <w:sz w:val="16"/>
      <w:szCs w:val="16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F101C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https://registri.visc.gov.lv/specizglitiba/dokumenti/metmat/metiet_atb_pas_nodr.pdf" TargetMode="External"/><Relationship Id="rId14" Type="http://schemas.openxmlformats.org/officeDocument/2006/relationships/hyperlink" Target="https://likumi.lv/ta/id/310939-prasibas-visparejas-izglitibas-iestadem-lai-to-istenotajas-izglitibas-programmas-uznemtu-izglitojamos-ar-specialam-vajadzibam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E6sheJ2thzrW50uuIHiJ/ZJ9A==">CgMxLjAyDWgubjQ1aGZycmJ1a2cyCGguZ2pkZ3hzOAByITFVd2pqU2lYRnRWZG9CajdnR3ViU2oycmlrNzhydUF0RA==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2025-03-07T13:04:00Z</dcterms:created>
  <dc:creator>Tehniskā Jaunrade1</dc:creator>
</cp:coreProperties>
</file>